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E3394" w14:textId="77777777" w:rsidR="00DC061E" w:rsidRDefault="00DC061E" w:rsidP="00DC061E">
      <w:pPr>
        <w:pStyle w:val="a3"/>
        <w:ind w:left="5705"/>
        <w:jc w:val="center"/>
        <w:rPr>
          <w:rFonts w:ascii="Times New Roman" w:hAnsi="Times New Roman" w:cs="Times New Roman"/>
          <w:b/>
          <w:bCs/>
          <w:color w:val="000080"/>
        </w:rPr>
      </w:pPr>
      <w:bookmarkStart w:id="0" w:name="_GoBack"/>
      <w:bookmarkEnd w:id="0"/>
    </w:p>
    <w:p w14:paraId="319DB9C4" w14:textId="77777777" w:rsidR="0044738B" w:rsidRPr="00580D1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УВЕДОМЛЕНИЕ КЛИЕНТА О ЗАПРЕТЕ МАНИПУЛИРОВАНИЯ РЫНКОМ</w:t>
      </w:r>
    </w:p>
    <w:p w14:paraId="0AEC5791" w14:textId="77777777" w:rsidR="00913A46" w:rsidRPr="0044738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И</w:t>
      </w:r>
      <w:r w:rsidR="0044738B" w:rsidRPr="0044738B">
        <w:rPr>
          <w:rFonts w:ascii="Times New Roman" w:hAnsi="Times New Roman" w:cs="Times New Roman"/>
          <w:b/>
          <w:bCs/>
        </w:rPr>
        <w:t xml:space="preserve"> </w:t>
      </w:r>
      <w:r w:rsidRPr="00D93B96">
        <w:rPr>
          <w:rFonts w:ascii="Times New Roman" w:hAnsi="Times New Roman" w:cs="Times New Roman"/>
          <w:b/>
          <w:bCs/>
        </w:rPr>
        <w:t>НЕПРАВОМЕРНОМ ИСПОЛЬ</w:t>
      </w:r>
      <w:r w:rsidR="0014043F">
        <w:rPr>
          <w:rFonts w:ascii="Times New Roman" w:hAnsi="Times New Roman" w:cs="Times New Roman"/>
          <w:b/>
          <w:bCs/>
        </w:rPr>
        <w:t>ЗОВАНИИ ИНСАЙДЕРСКОЙ ИНФОРМАЦИИ</w:t>
      </w:r>
    </w:p>
    <w:p w14:paraId="27E81478" w14:textId="77777777" w:rsidR="00D93B96" w:rsidRPr="00D93B96" w:rsidRDefault="00D93B96" w:rsidP="00913A46">
      <w:pPr>
        <w:autoSpaceDE w:val="0"/>
        <w:autoSpaceDN w:val="0"/>
        <w:adjustRightInd w:val="0"/>
        <w:spacing w:after="0" w:line="360" w:lineRule="auto"/>
        <w:jc w:val="center"/>
        <w:rPr>
          <w:rFonts w:ascii="Times New Roman" w:hAnsi="Times New Roman" w:cs="Times New Roman"/>
          <w:b/>
          <w:bCs/>
        </w:rPr>
      </w:pPr>
    </w:p>
    <w:p w14:paraId="0D65FB51" w14:textId="77777777" w:rsidR="00580D1B" w:rsidRPr="00580D1B" w:rsidRDefault="00DC58B8" w:rsidP="00580D1B">
      <w:pPr>
        <w:autoSpaceDE w:val="0"/>
        <w:autoSpaceDN w:val="0"/>
        <w:adjustRightInd w:val="0"/>
        <w:spacing w:after="0" w:line="240" w:lineRule="auto"/>
        <w:ind w:firstLine="708"/>
        <w:jc w:val="both"/>
        <w:rPr>
          <w:rFonts w:ascii="Times New Roman" w:hAnsi="Times New Roman" w:cs="Times New Roman"/>
          <w:color w:val="000000"/>
        </w:rPr>
      </w:pPr>
      <w:r>
        <w:rPr>
          <w:rFonts w:ascii="Times New Roman" w:hAnsi="Times New Roman" w:cs="Times New Roman"/>
          <w:color w:val="000000"/>
        </w:rPr>
        <w:t>Публичное акционерное общество «Совкомбанк»</w:t>
      </w:r>
      <w:r w:rsidR="00580D1B" w:rsidRPr="00580D1B">
        <w:rPr>
          <w:rFonts w:ascii="Times New Roman" w:hAnsi="Times New Roman" w:cs="Times New Roman"/>
          <w:color w:val="000000"/>
        </w:rPr>
        <w:t xml:space="preserve"> в соответствии с Федеральным законом от 27.07.2010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настоящим уведомляет Клиента о запрете манипулирования рынком. </w:t>
      </w:r>
    </w:p>
    <w:p w14:paraId="1C66FCF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36042FF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w:t>
      </w:r>
      <w:r w:rsidRPr="00580D1B">
        <w:rPr>
          <w:rFonts w:ascii="Times New Roman" w:hAnsi="Times New Roman" w:cs="Times New Roman"/>
          <w:color w:val="000000"/>
        </w:rPr>
        <w:tab/>
        <w:t>О существе манипулирования рынком</w:t>
      </w:r>
    </w:p>
    <w:p w14:paraId="59B18141"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1.1.</w:t>
      </w:r>
      <w:r w:rsidRPr="00580D1B">
        <w:rPr>
          <w:rFonts w:ascii="Times New Roman" w:hAnsi="Times New Roman" w:cs="Times New Roman"/>
          <w:color w:val="000000"/>
        </w:rPr>
        <w:tab/>
        <w:t xml:space="preserve"> К манипулированию рынком относятся следующие действия: </w:t>
      </w:r>
    </w:p>
    <w:p w14:paraId="09B888FC"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умышленное распространение через средства массовой информации, в том числе через электронные, информационно-телекоммуникационные сети общего пользования (включая сеть "Интернет"), любым иным способом заведомо ложных сведений, в результате которого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распространения таких сведений; </w:t>
      </w:r>
    </w:p>
    <w:p w14:paraId="076BF46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операций с финансовым инструментом, иностранной валютой и (или) товаром по предварительному соглашению между участниками торгов и (или) их работниками и (или) лицами, за счет или в интересах которых совершаются указанные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538AF5F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сделок, обязательства сторон по которым исполняются за счет или в интересах одного лица,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сделок; </w:t>
      </w:r>
    </w:p>
    <w:p w14:paraId="150BF96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выставление за счет или в интересах одного лица заявок, в результате которого на организованных торгах одновременно появляются две и более заявки противоположной направленности, в которых цена покупки финансового инструмента, иностранной валюты и (или) товара выше цены либо равна цене продажи такого же финансового инструмента, иностранной валюты и (или) товара, в случае, если на основании указанных заявок совершены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076C908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6AF090C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29EE51E6"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неисполнение обязательств по операциям, совершенным на организованных торгах без намерения их исполнения, с одними и теми же финансовым инструментом, иностранной валютой и (или) товаром, в результате чего цена, спрос, предложение или объем торгов финансовым инструментом, иностранной валютой и (или) товаром отклонились от </w:t>
      </w:r>
      <w:r w:rsidRPr="00580D1B">
        <w:rPr>
          <w:rFonts w:ascii="Times New Roman" w:hAnsi="Times New Roman" w:cs="Times New Roman"/>
          <w:color w:val="000000"/>
        </w:rPr>
        <w:lastRenderedPageBreak/>
        <w:t xml:space="preserve">уровня или поддерживались на уровне, существенно отличающемся от того уровня, который сформировался бы без таких операций. Указанные действия не признаются манипулированием рынком, если обязательства по указанным операциям были прекращены по основаниям, предусмотренным правилами организатора торговли и (или) клиринговой организации. </w:t>
      </w:r>
    </w:p>
    <w:p w14:paraId="36C89BE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4912B5DA"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1.2.</w:t>
      </w:r>
      <w:r w:rsidRPr="00580D1B">
        <w:rPr>
          <w:rFonts w:ascii="Times New Roman" w:hAnsi="Times New Roman" w:cs="Times New Roman"/>
          <w:color w:val="000000"/>
        </w:rPr>
        <w:tab/>
        <w:t xml:space="preserve"> Не являются манипулированием рынком действия, изложенные в абзацах с третьего по седьмой пункта 1 настоящего уведомления, которые направлены: </w:t>
      </w:r>
    </w:p>
    <w:p w14:paraId="6DD75578"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на эмиссионные ценные бумаги в связи с размещением и обращением ценных бумаг и осуществляются участниками торгов в соответствии с договором с эмитентом; </w:t>
      </w:r>
    </w:p>
    <w:p w14:paraId="78F6BE4C"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в связи с осуществлением выкупа, приобретения акций, погашения инвестиционных паев закрытых паевых инвестиционных фондов в случаях, установленных федеральными законами; </w:t>
      </w:r>
    </w:p>
    <w:p w14:paraId="2CEF646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спроса, предложения или объема торгов финансовым инструментом, иностранной валютой и (или) товаром и осуществляются участниками торгов в соответствии с договором, одной из сторон которого является организатор торговли. </w:t>
      </w:r>
    </w:p>
    <w:p w14:paraId="76EC2B9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5D5248E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2.</w:t>
      </w:r>
      <w:r w:rsidRPr="00580D1B">
        <w:rPr>
          <w:rFonts w:ascii="Times New Roman" w:hAnsi="Times New Roman" w:cs="Times New Roman"/>
          <w:color w:val="000000"/>
        </w:rPr>
        <w:tab/>
        <w:t xml:space="preserve">Об обязанности самостоятельно не допускать подачу через электронные системы поручений, которые могут содержать признаки манипулирования. </w:t>
      </w:r>
    </w:p>
    <w:p w14:paraId="38C4A81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Клиент обязан не допускать подачу через электронные системы поручений, которые могут содержать признаки манипулирования.</w:t>
      </w:r>
    </w:p>
    <w:p w14:paraId="6B71DEE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0A808475"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3.</w:t>
      </w:r>
      <w:r w:rsidRPr="00580D1B">
        <w:rPr>
          <w:rFonts w:ascii="Times New Roman" w:hAnsi="Times New Roman" w:cs="Times New Roman"/>
          <w:color w:val="000000"/>
        </w:rPr>
        <w:tab/>
        <w:t xml:space="preserve">Об ответственности за манипулирование и неправомерное использование инсайдерской информации. </w:t>
      </w:r>
    </w:p>
    <w:p w14:paraId="7F6635D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0F2BB7C5"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15.30 КоАП РФ манипулирование рынком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 </w:t>
      </w:r>
    </w:p>
    <w:p w14:paraId="1B35CB6C" w14:textId="2DA9A3FB"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185.6 УК РФ умышленное использование инсайдерской информации для осуществления операций с финансовыми инструментами, иностранной валютой и (или) товарами, к которым относится такая информация, за свой счет или за счет третьего лица, а равно умышленное использование инсайдерской информации путем дачи рекомендаций третьим лицам, обязывания или побуждения их иным образом к приобретению или продаже финансовых инструментов, иностранной валюты и (или) товаров, если такое использование причинило крупный ущерб гражданам, организациям или государству либо сопряжено с извлечением дохода или избежанием убытков в крупном размере, </w:t>
      </w:r>
    </w:p>
    <w:p w14:paraId="79C9B351"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либо заниматься определенной деятельностью на срок до трех лет или без такового; </w:t>
      </w:r>
    </w:p>
    <w:p w14:paraId="49F11666" w14:textId="6004A3AE"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умышленное использование инсайдерской информации путем ее неправомерной передачи другому лицу, если такое деяние повлекло возникновение последствий, предусмотренных частью первой настоящей статьи,  </w:t>
      </w:r>
    </w:p>
    <w:p w14:paraId="40F51727"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 либо без такового с лишением права занимать определенные должности либо заниматься определенной деятельностью на срок до четырех лет или без такового. </w:t>
      </w:r>
    </w:p>
    <w:p w14:paraId="158613AE" w14:textId="77777777" w:rsid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lastRenderedPageBreak/>
        <w:t>В случае передачи клиентом полномочий по распоряжению инвестиционным счетом другому лицу, клиент обязан уведомить такое лицо о запрете манипулирования и существе манипулирования рынком ценных бумаг, об обязанности самостоятельно не допускать подачу через электронные системы поручений, которые могут содержать признаки манипулирования, а также об ответственности за манипулирование рынком ценных бумаг.</w:t>
      </w:r>
    </w:p>
    <w:p w14:paraId="53ADABE3" w14:textId="77777777" w:rsidR="00913A46" w:rsidRPr="00913A46" w:rsidRDefault="00913A46" w:rsidP="0044738B">
      <w:pPr>
        <w:autoSpaceDE w:val="0"/>
        <w:autoSpaceDN w:val="0"/>
        <w:adjustRightInd w:val="0"/>
        <w:spacing w:after="0" w:line="240" w:lineRule="auto"/>
        <w:ind w:firstLine="708"/>
        <w:jc w:val="both"/>
        <w:rPr>
          <w:rFonts w:ascii="Times New Roman" w:hAnsi="Times New Roman" w:cs="Times New Roman"/>
          <w:color w:val="000000"/>
        </w:rPr>
      </w:pPr>
    </w:p>
    <w:p w14:paraId="48A80DB7" w14:textId="77777777" w:rsidR="00D93B96" w:rsidRDefault="00D93B96" w:rsidP="00913A46">
      <w:pPr>
        <w:autoSpaceDE w:val="0"/>
        <w:autoSpaceDN w:val="0"/>
        <w:adjustRightInd w:val="0"/>
        <w:spacing w:after="0" w:line="360" w:lineRule="auto"/>
        <w:jc w:val="right"/>
        <w:rPr>
          <w:rFonts w:ascii="Times New Roman" w:hAnsi="Times New Roman" w:cs="Times New Roman"/>
          <w:b/>
          <w:bCs/>
          <w:color w:val="000000"/>
        </w:rPr>
      </w:pPr>
    </w:p>
    <w:p w14:paraId="7222EEAF" w14:textId="77777777" w:rsidR="00913A46" w:rsidRPr="0044738B" w:rsidRDefault="00D93B9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Инвестор</w:t>
      </w:r>
      <w:r w:rsidR="00913A46" w:rsidRPr="0044738B">
        <w:rPr>
          <w:rFonts w:ascii="Times New Roman" w:hAnsi="Times New Roman" w:cs="Times New Roman"/>
          <w:color w:val="000000"/>
        </w:rPr>
        <w:t>_</w:t>
      </w:r>
      <w:r w:rsidRPr="0044738B">
        <w:rPr>
          <w:rFonts w:ascii="Times New Roman" w:hAnsi="Times New Roman" w:cs="Times New Roman"/>
          <w:color w:val="000000"/>
        </w:rPr>
        <w:t>_______________________________________</w:t>
      </w:r>
      <w:r w:rsidR="00913A46" w:rsidRPr="0044738B">
        <w:rPr>
          <w:rFonts w:ascii="Times New Roman" w:hAnsi="Times New Roman" w:cs="Times New Roman"/>
          <w:color w:val="000000"/>
        </w:rPr>
        <w:t>____________________________________</w:t>
      </w:r>
    </w:p>
    <w:p w14:paraId="412B9B2C" w14:textId="2D083FB3" w:rsidR="00D93B96" w:rsidRPr="0044738B" w:rsidRDefault="00D93B96" w:rsidP="00913A46">
      <w:pPr>
        <w:autoSpaceDE w:val="0"/>
        <w:autoSpaceDN w:val="0"/>
        <w:adjustRightInd w:val="0"/>
        <w:spacing w:after="0" w:line="360" w:lineRule="auto"/>
        <w:jc w:val="right"/>
        <w:rPr>
          <w:rFonts w:ascii="Times New Roman" w:hAnsi="Times New Roman" w:cs="Times New Roman"/>
          <w:sz w:val="18"/>
          <w:szCs w:val="18"/>
        </w:rPr>
      </w:pPr>
      <w:r w:rsidRPr="0044738B">
        <w:rPr>
          <w:rFonts w:ascii="Times New Roman" w:hAnsi="Times New Roman" w:cs="Times New Roman"/>
          <w:sz w:val="18"/>
          <w:szCs w:val="18"/>
        </w:rPr>
        <w:t xml:space="preserve">ФИО полностью – для физических лиц; сокращенное наименование - для юридических лиц </w:t>
      </w:r>
    </w:p>
    <w:p w14:paraId="40ECBA88"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Должность</w:t>
      </w:r>
      <w:r w:rsidRPr="0044738B">
        <w:rPr>
          <w:rFonts w:ascii="Times New Roman" w:hAnsi="Times New Roman" w:cs="Times New Roman"/>
          <w:color w:val="000000"/>
        </w:rPr>
        <w:t>* _________________________________</w:t>
      </w:r>
    </w:p>
    <w:p w14:paraId="54BCBB30" w14:textId="77777777" w:rsidR="00D93B96" w:rsidRPr="0044738B" w:rsidRDefault="00D93B96" w:rsidP="00913A46">
      <w:pPr>
        <w:autoSpaceDE w:val="0"/>
        <w:autoSpaceDN w:val="0"/>
        <w:adjustRightInd w:val="0"/>
        <w:spacing w:after="0" w:line="360" w:lineRule="auto"/>
        <w:jc w:val="right"/>
        <w:rPr>
          <w:rFonts w:ascii="Times New Roman" w:hAnsi="Times New Roman" w:cs="Times New Roman"/>
          <w:b/>
          <w:bCs/>
          <w:color w:val="000000"/>
        </w:rPr>
      </w:pPr>
    </w:p>
    <w:p w14:paraId="6765FAB9"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Подпись</w:t>
      </w:r>
      <w:r w:rsidRPr="0044738B">
        <w:rPr>
          <w:rFonts w:ascii="Times New Roman" w:hAnsi="Times New Roman" w:cs="Times New Roman"/>
          <w:color w:val="000000"/>
        </w:rPr>
        <w:t>_____________________________________</w:t>
      </w:r>
    </w:p>
    <w:p w14:paraId="4E5086B0"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М.П.*</w:t>
      </w:r>
    </w:p>
    <w:p w14:paraId="024BF4F8"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«___ » _____________ ______ г.</w:t>
      </w:r>
    </w:p>
    <w:p w14:paraId="37017834" w14:textId="77777777" w:rsidR="008B3F00" w:rsidRPr="0044738B" w:rsidRDefault="00913A46" w:rsidP="00913A46">
      <w:pPr>
        <w:spacing w:line="360" w:lineRule="auto"/>
        <w:jc w:val="right"/>
        <w:rPr>
          <w:rFonts w:ascii="Times New Roman" w:hAnsi="Times New Roman" w:cs="Times New Roman"/>
        </w:rPr>
      </w:pPr>
      <w:r w:rsidRPr="0044738B">
        <w:rPr>
          <w:rFonts w:ascii="Times New Roman" w:hAnsi="Times New Roman" w:cs="Times New Roman"/>
          <w:b/>
          <w:bCs/>
          <w:i/>
          <w:iCs/>
          <w:color w:val="000000"/>
        </w:rPr>
        <w:t>* для клиентов – юридических лиц</w:t>
      </w:r>
    </w:p>
    <w:sectPr w:rsidR="008B3F00" w:rsidRPr="0044738B" w:rsidSect="00365448">
      <w:headerReference w:type="default" r:id="rId7"/>
      <w:footerReference w:type="default" r:id="rId8"/>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7EF8A" w14:textId="77777777" w:rsidR="003D3C75" w:rsidRDefault="003D3C75" w:rsidP="00FF28EF">
      <w:pPr>
        <w:spacing w:after="0" w:line="240" w:lineRule="auto"/>
      </w:pPr>
      <w:r>
        <w:separator/>
      </w:r>
    </w:p>
  </w:endnote>
  <w:endnote w:type="continuationSeparator" w:id="0">
    <w:p w14:paraId="14C9A671" w14:textId="77777777" w:rsidR="003D3C75" w:rsidRDefault="003D3C75" w:rsidP="00FF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005869641"/>
      <w:docPartObj>
        <w:docPartGallery w:val="Page Numbers (Bottom of Page)"/>
        <w:docPartUnique/>
      </w:docPartObj>
    </w:sdtPr>
    <w:sdtEndPr/>
    <w:sdtContent>
      <w:sdt>
        <w:sdtPr>
          <w:rPr>
            <w:rFonts w:ascii="Times New Roman" w:hAnsi="Times New Roman" w:cs="Times New Roman"/>
            <w:sz w:val="20"/>
            <w:szCs w:val="20"/>
          </w:rPr>
          <w:id w:val="860082579"/>
          <w:docPartObj>
            <w:docPartGallery w:val="Page Numbers (Top of Page)"/>
            <w:docPartUnique/>
          </w:docPartObj>
        </w:sdtPr>
        <w:sdtEndPr/>
        <w:sdtContent>
          <w:p w14:paraId="3FF8583C" w14:textId="4DD93BAF" w:rsidR="00FF28EF" w:rsidRPr="00FF28EF" w:rsidRDefault="00FF28EF">
            <w:pPr>
              <w:pStyle w:val="a8"/>
              <w:jc w:val="right"/>
              <w:rPr>
                <w:rFonts w:ascii="Times New Roman" w:hAnsi="Times New Roman" w:cs="Times New Roman"/>
                <w:sz w:val="20"/>
                <w:szCs w:val="20"/>
              </w:rPr>
            </w:pPr>
            <w:r w:rsidRPr="00FF28EF">
              <w:rPr>
                <w:rFonts w:ascii="Times New Roman" w:hAnsi="Times New Roman" w:cs="Times New Roman"/>
                <w:sz w:val="20"/>
                <w:szCs w:val="20"/>
              </w:rPr>
              <w:t xml:space="preserve">Страница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PAGE</w:instrText>
            </w:r>
            <w:r w:rsidRPr="00FF28EF">
              <w:rPr>
                <w:rFonts w:ascii="Times New Roman" w:hAnsi="Times New Roman" w:cs="Times New Roman"/>
                <w:b/>
                <w:bCs/>
                <w:sz w:val="20"/>
                <w:szCs w:val="20"/>
              </w:rPr>
              <w:fldChar w:fldCharType="separate"/>
            </w:r>
            <w:r w:rsidR="000578A6">
              <w:rPr>
                <w:rFonts w:ascii="Times New Roman" w:hAnsi="Times New Roman" w:cs="Times New Roman"/>
                <w:b/>
                <w:bCs/>
                <w:noProof/>
                <w:sz w:val="20"/>
                <w:szCs w:val="20"/>
              </w:rPr>
              <w:t>1</w:t>
            </w:r>
            <w:r w:rsidRPr="00FF28EF">
              <w:rPr>
                <w:rFonts w:ascii="Times New Roman" w:hAnsi="Times New Roman" w:cs="Times New Roman"/>
                <w:b/>
                <w:bCs/>
                <w:sz w:val="20"/>
                <w:szCs w:val="20"/>
              </w:rPr>
              <w:fldChar w:fldCharType="end"/>
            </w:r>
            <w:r w:rsidRPr="00FF28EF">
              <w:rPr>
                <w:rFonts w:ascii="Times New Roman" w:hAnsi="Times New Roman" w:cs="Times New Roman"/>
                <w:sz w:val="20"/>
                <w:szCs w:val="20"/>
              </w:rPr>
              <w:t xml:space="preserve"> из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NUMPAGES</w:instrText>
            </w:r>
            <w:r w:rsidRPr="00FF28EF">
              <w:rPr>
                <w:rFonts w:ascii="Times New Roman" w:hAnsi="Times New Roman" w:cs="Times New Roman"/>
                <w:b/>
                <w:bCs/>
                <w:sz w:val="20"/>
                <w:szCs w:val="20"/>
              </w:rPr>
              <w:fldChar w:fldCharType="separate"/>
            </w:r>
            <w:r w:rsidR="000578A6">
              <w:rPr>
                <w:rFonts w:ascii="Times New Roman" w:hAnsi="Times New Roman" w:cs="Times New Roman"/>
                <w:b/>
                <w:bCs/>
                <w:noProof/>
                <w:sz w:val="20"/>
                <w:szCs w:val="20"/>
              </w:rPr>
              <w:t>3</w:t>
            </w:r>
            <w:r w:rsidRPr="00FF28EF">
              <w:rPr>
                <w:rFonts w:ascii="Times New Roman" w:hAnsi="Times New Roman" w:cs="Times New Roman"/>
                <w:b/>
                <w:bCs/>
                <w:sz w:val="20"/>
                <w:szCs w:val="20"/>
              </w:rPr>
              <w:fldChar w:fldCharType="end"/>
            </w:r>
          </w:p>
        </w:sdtContent>
      </w:sdt>
    </w:sdtContent>
  </w:sdt>
  <w:p w14:paraId="571EE16A" w14:textId="77777777" w:rsidR="00FF28EF" w:rsidRDefault="00FF28E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37DCE" w14:textId="77777777" w:rsidR="003D3C75" w:rsidRDefault="003D3C75" w:rsidP="00FF28EF">
      <w:pPr>
        <w:spacing w:after="0" w:line="240" w:lineRule="auto"/>
      </w:pPr>
      <w:r>
        <w:separator/>
      </w:r>
    </w:p>
  </w:footnote>
  <w:footnote w:type="continuationSeparator" w:id="0">
    <w:p w14:paraId="5A930C46" w14:textId="77777777" w:rsidR="003D3C75" w:rsidRDefault="003D3C75" w:rsidP="00FF2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D5D63" w14:textId="77777777" w:rsidR="00C60926" w:rsidRPr="00C60926" w:rsidRDefault="00C60926" w:rsidP="00C60926">
    <w:pPr>
      <w:pStyle w:val="Style2"/>
      <w:widowControl/>
      <w:tabs>
        <w:tab w:val="left" w:pos="1200"/>
        <w:tab w:val="right" w:pos="9355"/>
      </w:tabs>
      <w:rPr>
        <w:rStyle w:val="FontStyle33"/>
        <w:rFonts w:ascii="Times New Roman" w:hAnsi="Times New Roman"/>
        <w:b w:val="0"/>
        <w:sz w:val="20"/>
        <w:szCs w:val="20"/>
      </w:rPr>
    </w:pPr>
    <w:r w:rsidRPr="00C60926">
      <w:rPr>
        <w:rFonts w:ascii="Times New Roman" w:hAnsi="Times New Roman"/>
        <w:bCs/>
        <w:noProof/>
        <w:sz w:val="20"/>
        <w:szCs w:val="20"/>
      </w:rPr>
      <w:drawing>
        <wp:inline distT="0" distB="0" distL="0" distR="0" wp14:anchorId="768CEBA3" wp14:editId="1738BCC3">
          <wp:extent cx="1498600" cy="160931"/>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305" cy="161221"/>
                  </a:xfrm>
                  <a:prstGeom prst="rect">
                    <a:avLst/>
                  </a:prstGeom>
                  <a:noFill/>
                </pic:spPr>
              </pic:pic>
            </a:graphicData>
          </a:graphic>
        </wp:inline>
      </w:drawing>
    </w:r>
    <w:r w:rsidRPr="00C60926">
      <w:rPr>
        <w:rStyle w:val="FontStyle33"/>
        <w:rFonts w:ascii="Times New Roman" w:hAnsi="Times New Roman"/>
        <w:b w:val="0"/>
        <w:sz w:val="20"/>
        <w:szCs w:val="20"/>
      </w:rPr>
      <w:t xml:space="preserve">                                                                                                                                                                            </w:t>
    </w:r>
  </w:p>
  <w:p w14:paraId="61046595" w14:textId="4D7069E6" w:rsidR="00C60926" w:rsidRPr="00C60926" w:rsidRDefault="00C60926" w:rsidP="00C60926">
    <w:pPr>
      <w:pStyle w:val="Style2"/>
      <w:widowControl/>
      <w:tabs>
        <w:tab w:val="left" w:pos="1200"/>
        <w:tab w:val="right" w:pos="9355"/>
      </w:tabs>
      <w:jc w:val="right"/>
      <w:rPr>
        <w:rStyle w:val="FontStyle33"/>
        <w:rFonts w:ascii="Times New Roman" w:hAnsi="Times New Roman"/>
        <w:b w:val="0"/>
        <w:sz w:val="20"/>
        <w:szCs w:val="20"/>
      </w:rPr>
    </w:pPr>
    <w:r>
      <w:rPr>
        <w:rStyle w:val="FontStyle33"/>
        <w:rFonts w:ascii="Times New Roman" w:hAnsi="Times New Roman"/>
        <w:b w:val="0"/>
        <w:sz w:val="20"/>
        <w:szCs w:val="20"/>
      </w:rPr>
      <w:t>Приложение 8</w:t>
    </w:r>
  </w:p>
  <w:p w14:paraId="00B9E4D8" w14:textId="77777777" w:rsidR="00C60926" w:rsidRPr="00C60926" w:rsidRDefault="00C60926" w:rsidP="00C60926">
    <w:pPr>
      <w:pStyle w:val="a6"/>
      <w:jc w:val="right"/>
    </w:pPr>
    <w:r w:rsidRPr="00C60926">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14:paraId="7FD154A0" w14:textId="2357AA68" w:rsidR="00FF28EF" w:rsidRPr="00FF28EF" w:rsidRDefault="00FF28EF" w:rsidP="00FF28EF">
    <w:pPr>
      <w:pStyle w:val="Style2"/>
      <w:tabs>
        <w:tab w:val="left" w:pos="1200"/>
      </w:tabs>
      <w:jc w:val="right"/>
      <w:rPr>
        <w:rFonts w:ascii="Times New Roman" w:hAnsi="Times New Roman" w:cs="Garamond"/>
        <w:bCs/>
        <w:sz w:val="20"/>
        <w:szCs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A46"/>
    <w:rsid w:val="000578A6"/>
    <w:rsid w:val="000B0BC2"/>
    <w:rsid w:val="0014043F"/>
    <w:rsid w:val="001A133F"/>
    <w:rsid w:val="00241264"/>
    <w:rsid w:val="00345249"/>
    <w:rsid w:val="00365448"/>
    <w:rsid w:val="003C61F5"/>
    <w:rsid w:val="003D3C75"/>
    <w:rsid w:val="003E593A"/>
    <w:rsid w:val="0044738B"/>
    <w:rsid w:val="0045055C"/>
    <w:rsid w:val="00580D1B"/>
    <w:rsid w:val="0070341E"/>
    <w:rsid w:val="007F7924"/>
    <w:rsid w:val="008B3F00"/>
    <w:rsid w:val="008F03DE"/>
    <w:rsid w:val="00913A46"/>
    <w:rsid w:val="00B11A1E"/>
    <w:rsid w:val="00B50981"/>
    <w:rsid w:val="00C60926"/>
    <w:rsid w:val="00D92936"/>
    <w:rsid w:val="00D93B96"/>
    <w:rsid w:val="00DC061E"/>
    <w:rsid w:val="00DC58B8"/>
    <w:rsid w:val="00F3712C"/>
    <w:rsid w:val="00FE108D"/>
    <w:rsid w:val="00FF2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8A834"/>
  <w15:docId w15:val="{131DE631-B9AC-47A0-974E-6158A853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3B96"/>
    <w:pPr>
      <w:spacing w:after="0" w:line="240" w:lineRule="auto"/>
    </w:pPr>
    <w:rPr>
      <w:rFonts w:eastAsiaTheme="minorHAnsi"/>
      <w:lang w:eastAsia="en-US"/>
    </w:rPr>
  </w:style>
  <w:style w:type="character" w:customStyle="1" w:styleId="FontStyle33">
    <w:name w:val="Font Style33"/>
    <w:rsid w:val="00D93B96"/>
    <w:rPr>
      <w:rFonts w:ascii="Garamond" w:hAnsi="Garamond" w:cs="Garamond"/>
      <w:b/>
      <w:bCs/>
      <w:sz w:val="12"/>
      <w:szCs w:val="12"/>
    </w:rPr>
  </w:style>
  <w:style w:type="paragraph" w:styleId="a4">
    <w:name w:val="Balloon Text"/>
    <w:basedOn w:val="a"/>
    <w:link w:val="a5"/>
    <w:uiPriority w:val="99"/>
    <w:semiHidden/>
    <w:unhideWhenUsed/>
    <w:rsid w:val="00D93B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3B96"/>
    <w:rPr>
      <w:rFonts w:ascii="Tahoma" w:hAnsi="Tahoma" w:cs="Tahoma"/>
      <w:sz w:val="16"/>
      <w:szCs w:val="16"/>
    </w:rPr>
  </w:style>
  <w:style w:type="paragraph" w:styleId="a6">
    <w:name w:val="header"/>
    <w:basedOn w:val="a"/>
    <w:link w:val="a7"/>
    <w:unhideWhenUsed/>
    <w:rsid w:val="00FF28EF"/>
    <w:pPr>
      <w:tabs>
        <w:tab w:val="center" w:pos="4677"/>
        <w:tab w:val="right" w:pos="9355"/>
      </w:tabs>
      <w:spacing w:after="0" w:line="240" w:lineRule="auto"/>
    </w:pPr>
  </w:style>
  <w:style w:type="character" w:customStyle="1" w:styleId="a7">
    <w:name w:val="Верхний колонтитул Знак"/>
    <w:basedOn w:val="a0"/>
    <w:link w:val="a6"/>
    <w:rsid w:val="00FF28EF"/>
  </w:style>
  <w:style w:type="paragraph" w:styleId="a8">
    <w:name w:val="footer"/>
    <w:basedOn w:val="a"/>
    <w:link w:val="a9"/>
    <w:uiPriority w:val="99"/>
    <w:unhideWhenUsed/>
    <w:rsid w:val="00FF28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28EF"/>
  </w:style>
  <w:style w:type="paragraph" w:customStyle="1" w:styleId="Style2">
    <w:name w:val="Style2"/>
    <w:basedOn w:val="a"/>
    <w:rsid w:val="00FF28EF"/>
    <w:pPr>
      <w:widowControl w:val="0"/>
      <w:autoSpaceDE w:val="0"/>
      <w:autoSpaceDN w:val="0"/>
      <w:adjustRightInd w:val="0"/>
      <w:spacing w:after="0" w:line="240" w:lineRule="auto"/>
    </w:pPr>
    <w:rPr>
      <w:rFonts w:ascii="Garamond" w:eastAsia="Times New Roman" w:hAnsi="Garamond"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18991">
      <w:bodyDiv w:val="1"/>
      <w:marLeft w:val="0"/>
      <w:marRight w:val="0"/>
      <w:marTop w:val="0"/>
      <w:marBottom w:val="0"/>
      <w:divBdr>
        <w:top w:val="none" w:sz="0" w:space="0" w:color="auto"/>
        <w:left w:val="none" w:sz="0" w:space="0" w:color="auto"/>
        <w:bottom w:val="none" w:sz="0" w:space="0" w:color="auto"/>
        <w:right w:val="none" w:sz="0" w:space="0" w:color="auto"/>
      </w:divBdr>
    </w:div>
    <w:div w:id="141284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E6F8A-1CCB-4387-8EBD-1C8D7457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1286</Words>
  <Characters>7333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g.domashevich</dc:creator>
  <cp:lastModifiedBy>Бовин Егор Борисович</cp:lastModifiedBy>
  <cp:revision>4</cp:revision>
  <dcterms:created xsi:type="dcterms:W3CDTF">2020-10-27T11:00:00Z</dcterms:created>
  <dcterms:modified xsi:type="dcterms:W3CDTF">2021-06-08T15:24:00Z</dcterms:modified>
</cp:coreProperties>
</file>